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971" w:rsidRPr="00624971" w:rsidRDefault="00624971" w:rsidP="00624971">
      <w:pPr>
        <w:keepNext/>
        <w:widowControl w:val="0"/>
        <w:tabs>
          <w:tab w:val="num" w:pos="3600"/>
        </w:tabs>
        <w:ind w:left="2880" w:right="23" w:firstLine="180"/>
        <w:jc w:val="both"/>
        <w:outlineLvl w:val="2"/>
        <w:rPr>
          <w:rFonts w:ascii="Calibri" w:eastAsia="Times New Roman" w:hAnsi="Calibri" w:cs="Arial"/>
          <w:b/>
          <w:i/>
          <w:smallCaps/>
          <w:spacing w:val="5"/>
          <w:sz w:val="20"/>
          <w:szCs w:val="20"/>
        </w:rPr>
      </w:pPr>
      <w:r w:rsidRPr="00624971">
        <w:rPr>
          <w:rFonts w:ascii="Calibri" w:eastAsia="Times New Roman" w:hAnsi="Calibri" w:cs="Arial"/>
          <w:b/>
          <w:i/>
          <w:smallCaps/>
          <w:spacing w:val="5"/>
          <w:sz w:val="20"/>
          <w:szCs w:val="20"/>
        </w:rPr>
        <w:t>INTRODUÇÃO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spacing w:line="360" w:lineRule="auto"/>
        <w:ind w:left="2880" w:firstLine="180"/>
        <w:jc w:val="both"/>
        <w:rPr>
          <w:rFonts w:ascii="Calibri" w:eastAsia="Times New Roman" w:hAnsi="Calibri" w:cs="Arial"/>
          <w:i/>
          <w:sz w:val="20"/>
          <w:szCs w:val="20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spacing w:line="360" w:lineRule="auto"/>
        <w:ind w:left="2880" w:firstLine="180"/>
        <w:jc w:val="both"/>
        <w:rPr>
          <w:rFonts w:ascii="Calibri" w:eastAsia="Times New Roman" w:hAnsi="Calibri" w:cs="Arial"/>
          <w:i/>
          <w:sz w:val="20"/>
          <w:szCs w:val="20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spacing w:before="100" w:beforeAutospacing="1" w:after="100" w:afterAutospacing="1" w:line="360" w:lineRule="auto"/>
        <w:ind w:left="2880" w:firstLine="180"/>
        <w:jc w:val="both"/>
        <w:rPr>
          <w:rFonts w:ascii="Arial Unicode MS" w:eastAsia="Arial Unicode MS" w:hAnsi="Arial Unicode MS" w:cs="Arial Unicode MS"/>
          <w:i/>
          <w:sz w:val="18"/>
          <w:szCs w:val="20"/>
        </w:rPr>
      </w:pPr>
      <w:proofErr w:type="spellStart"/>
      <w:r w:rsidRPr="00624971">
        <w:rPr>
          <w:rFonts w:ascii="Arial Unicode MS" w:eastAsia="Arial Unicode MS" w:hAnsi="Arial Unicode MS" w:cs="Arial Unicode MS"/>
          <w:b/>
          <w:sz w:val="18"/>
          <w:szCs w:val="20"/>
        </w:rPr>
        <w:t>Exempla</w:t>
      </w:r>
      <w:proofErr w:type="spellEnd"/>
      <w:r w:rsidRPr="00624971">
        <w:rPr>
          <w:rFonts w:ascii="Arial Unicode MS" w:eastAsia="Arial Unicode MS" w:hAnsi="Arial Unicode MS" w:cs="Arial Unicode MS"/>
          <w:b/>
          <w:sz w:val="18"/>
          <w:szCs w:val="20"/>
        </w:rPr>
        <w:t xml:space="preserve"> </w:t>
      </w:r>
      <w:proofErr w:type="spellStart"/>
      <w:r w:rsidRPr="00624971">
        <w:rPr>
          <w:rFonts w:ascii="Arial Unicode MS" w:eastAsia="Arial Unicode MS" w:hAnsi="Arial Unicode MS" w:cs="Arial Unicode MS"/>
          <w:b/>
          <w:sz w:val="18"/>
          <w:szCs w:val="20"/>
        </w:rPr>
        <w:t>docent</w:t>
      </w:r>
      <w:proofErr w:type="spellEnd"/>
      <w:r w:rsidRPr="00624971">
        <w:rPr>
          <w:rFonts w:ascii="Arial Unicode MS" w:eastAsia="Arial Unicode MS" w:hAnsi="Arial Unicode MS" w:cs="Arial Unicode MS"/>
          <w:b/>
          <w:sz w:val="18"/>
          <w:szCs w:val="20"/>
        </w:rPr>
        <w:t xml:space="preserve">, non </w:t>
      </w:r>
      <w:proofErr w:type="spellStart"/>
      <w:r w:rsidRPr="00624971">
        <w:rPr>
          <w:rFonts w:ascii="Arial Unicode MS" w:eastAsia="Arial Unicode MS" w:hAnsi="Arial Unicode MS" w:cs="Arial Unicode MS"/>
          <w:b/>
          <w:sz w:val="18"/>
          <w:szCs w:val="20"/>
        </w:rPr>
        <w:t>jubent</w:t>
      </w:r>
      <w:proofErr w:type="spellEnd"/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Escreveu Pedro da Silveira, redimindo-se, talvez, do caráter pouco sucinto que imprimiu ao texto de abertura da sua </w:t>
      </w:r>
      <w:r w:rsidRPr="00624971">
        <w:rPr>
          <w:rFonts w:ascii="Calibri" w:eastAsia="Times New Roman" w:hAnsi="Calibri" w:cs="Calibri"/>
          <w:sz w:val="18"/>
          <w:szCs w:val="20"/>
        </w:rPr>
        <w:t xml:space="preserve">Antologia de Poesia Açoriana, “Do século XVIII a </w:t>
      </w:r>
      <w:smartTag w:uri="urn:schemas-microsoft-com:office:smarttags" w:element="metricconverter">
        <w:smartTagPr>
          <w:attr w:name="ProductID" w:val="1975”"/>
        </w:smartTagPr>
        <w:r w:rsidRPr="00624971">
          <w:rPr>
            <w:rFonts w:ascii="Calibri" w:eastAsia="Times New Roman" w:hAnsi="Calibri" w:cs="Calibri"/>
            <w:sz w:val="18"/>
            <w:szCs w:val="20"/>
          </w:rPr>
          <w:t>1975”</w:t>
        </w:r>
      </w:smartTag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, que os prefácios (e incluímos nesta dimensão paratextual, como é óbvio, as introduções e as notas preliminares) devem ser “introdutores e não… abafadores” (1977: 39). A fim de render preito a tão assisada prescrição, não podem as Autoras deixar de tecer algumas considerações, breves que sejam (assim evitando ‘sufocar’ os Leitores), relativas à génese, aos objetivos e à estrutura desta </w:t>
      </w:r>
      <w:r w:rsidRPr="00624971">
        <w:rPr>
          <w:rFonts w:ascii="Calibri" w:eastAsia="Times New Roman" w:hAnsi="Calibri" w:cs="Calibri"/>
          <w:sz w:val="18"/>
          <w:szCs w:val="20"/>
        </w:rPr>
        <w:t>Antologia bilingue</w:t>
      </w: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. 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No que respeita ao primeiro item, é de referir que, se em 2008 propusemos à Direção Regional da Educação e Formação do Governo Regional dos Açores a elaboração de uma </w:t>
      </w:r>
      <w:r w:rsidRPr="00624971">
        <w:rPr>
          <w:rFonts w:ascii="Calibri" w:eastAsia="Times New Roman" w:hAnsi="Calibri" w:cs="Calibri"/>
          <w:sz w:val="18"/>
          <w:szCs w:val="20"/>
        </w:rPr>
        <w:t>Antologia de Autores açorianos contemporâneos</w:t>
      </w: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passível de integração no plano curricular do Ensino Básico, decidimos, ulteriormente, solicitar o apoio da Direção Geral das Comunidades para o financiamento de uma edição bilingue,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20"/>
        </w:rPr>
        <w:t>português-inglês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, numa versão menos longa do que a sua homóloga, a </w:t>
      </w:r>
      <w:r w:rsidRPr="00624971">
        <w:rPr>
          <w:rFonts w:ascii="Calibri" w:eastAsia="Times New Roman" w:hAnsi="Calibri" w:cs="Calibri"/>
          <w:sz w:val="18"/>
          <w:szCs w:val="20"/>
        </w:rPr>
        <w:t>Antologia</w:t>
      </w: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monolingue, concluída há cerca de um ano.</w:t>
      </w:r>
    </w:p>
    <w:p w:rsidR="00624971" w:rsidRPr="00624971" w:rsidRDefault="00624971" w:rsidP="00624971">
      <w:pPr>
        <w:tabs>
          <w:tab w:val="num" w:pos="0"/>
          <w:tab w:val="left" w:pos="2880"/>
          <w:tab w:val="left" w:pos="576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14"/>
          <w:lang w:eastAsia="en-AU" w:bidi="hi-IN"/>
        </w:rPr>
      </w:pPr>
      <w:r w:rsidRPr="00624971">
        <w:rPr>
          <w:rFonts w:ascii="Calibri" w:eastAsia="Times New Roman" w:hAnsi="Calibri" w:cs="Calibri"/>
          <w:i/>
          <w:sz w:val="18"/>
          <w:szCs w:val="14"/>
          <w:lang w:eastAsia="en-AU" w:bidi="hi-IN"/>
        </w:rPr>
        <w:t xml:space="preserve">Os objetivos que então, tal como hoje, enunciámos foram, entre outros (cujo elenco mais ou menos completo seria fastidioso), o de proporcionar às comunidades açorianas, lusofalantes e não só, radicadas nos Estados Unidos e no Canadá (para mais não citar), o acesso a uma obra (esgotada, na maioria dos casos) nascida no Arquipélago, facultando um estudo temático-estilístico das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14"/>
          <w:lang w:eastAsia="en-AU" w:bidi="hi-IN"/>
        </w:rPr>
        <w:t>caraterísticas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14"/>
          <w:lang w:eastAsia="en-AU" w:bidi="hi-IN"/>
        </w:rPr>
        <w:t xml:space="preserve"> idiossincráticas que a diferenciam, como, por exemplo, o imaginário dinâmico do ilhéu, confinado ao isolamento e à insularidade, imbuído de um sentimento inegável de religiosidade popular e bipartido, em termos de sonho emigratório, entre o anelo da partida e o desejo do regresso (mesmo se a ‘largada’ só interiormente, no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14"/>
          <w:lang w:eastAsia="en-AU" w:bidi="hi-IN"/>
        </w:rPr>
        <w:t>imo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14"/>
          <w:lang w:eastAsia="en-AU" w:bidi="hi-IN"/>
        </w:rPr>
        <w:t>, se concretizou).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>No tocante à sua estrutura, e com o intuito de agilizar um manuseio eficaz, optámos por ordenar alfabeticamente os Autores, constando do “Índice”, e, precedendo os extratos selecionados em português e traduzidos para língua inglesa, proceder a uma breve apresentação individual sob forma de ‘ficha’ biobibliográfica sumária, conquanto dilucidativa.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No que concerne à metodologia, uma panóplia de questões (assumindo-se como iminentes discursos críticos), redundando em eventual controvérsia, mero lamento ou imerecido encómio, poderia ser levantada: a primeira, crucial, remeteria, decerto, para a sua incompletude, questionando a omissão de alguns nomes de Autores antologiáveis, mas não antologiados, nesta ocorrência, por razões alheias à vontade e ao esforço das antologiadoras; a segunda, acessória, contestaria, quiçá, os critérios que presidiram à seleção dos textos recolhidos, bem como a legitimidade científica que detém um </w:t>
      </w:r>
      <w:proofErr w:type="gramStart"/>
      <w:r w:rsidRPr="00624971">
        <w:rPr>
          <w:rFonts w:ascii="Calibri" w:eastAsia="Times New Roman" w:hAnsi="Calibri" w:cs="Calibri"/>
          <w:i/>
          <w:sz w:val="18"/>
          <w:szCs w:val="20"/>
        </w:rPr>
        <w:t>certo e determinado</w:t>
      </w:r>
      <w:proofErr w:type="gramEnd"/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extrato no que à representação antologística do seu Autor diz respeito.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>Que nos seja lícito, antecipando uma parca contra-argumentação a esses plausíveis argumentos (que ainda não o são, mas que o poderão vir a ser) sobre os quais temos vindo sobejamente a refletir, relembrar que uma antologia, vulgo florilégio ou seleta, mais não é do que uma amostra de Autores e uma recolha de textos, fragmentária e relativa, mas constituindo, mercê do seu teor fracionário e inacabado, trampolim para a totalidade almejada, tão-somente atingível (ou inalcançável?) mediante reedições, veiculando acréscimos ou atualizações, suprimindo lacunas capitais e firmando, desta feita, a desculpabilização do antologiador relativamente ao cariz não exaustivo da sua obra, apanágio de todo e qualquer ser humano. Do mesmo modo, a subjetividade que nos poderia ser legalmente apontada foi minorada pela colaboração dos Autores, aos quais agradecemos profundamente, tanto pela sua anuência à coleção dos textos antologiados (numa perspetiva não diacrónica) como pela verificação da respetiva tradução para língua inglesa.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Qualquer antologiador demiúrgico que para si reivindicasse a autoria de uma antologia perfeita e qualquer leitor ou </w:t>
      </w:r>
      <w:proofErr w:type="gramStart"/>
      <w:r w:rsidRPr="00624971">
        <w:rPr>
          <w:rFonts w:ascii="Calibri" w:eastAsia="Times New Roman" w:hAnsi="Calibri" w:cs="Calibri"/>
          <w:i/>
          <w:sz w:val="18"/>
          <w:szCs w:val="20"/>
        </w:rPr>
        <w:t>consultador improficientes</w:t>
      </w:r>
      <w:proofErr w:type="gramEnd"/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que apontassem </w:t>
      </w:r>
      <w:r w:rsidRPr="00624971">
        <w:rPr>
          <w:rFonts w:ascii="Calibri" w:eastAsia="Times New Roman" w:hAnsi="Calibri" w:cs="Calibri"/>
          <w:i/>
          <w:sz w:val="18"/>
          <w:szCs w:val="20"/>
        </w:rPr>
        <w:lastRenderedPageBreak/>
        <w:t xml:space="preserve">omissões numa antologia que,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20"/>
        </w:rPr>
        <w:t>definitoriamente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e à partida, prima pelo teor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20"/>
        </w:rPr>
        <w:t>elítico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 assemelhar-se-iam a Prometeu, incorrendo no risco de serem supliciados como Tântalo ou punidos como Ícaro.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  <w:r w:rsidRPr="00624971">
        <w:rPr>
          <w:rFonts w:ascii="Calibri" w:eastAsia="Times New Roman" w:hAnsi="Calibri" w:cs="Calibri"/>
          <w:i/>
          <w:sz w:val="18"/>
          <w:szCs w:val="20"/>
        </w:rPr>
        <w:t xml:space="preserve">Quanto a nós, conscientes da dificuldade em congraçar relativo e absoluto, nós elegemos, como parece ser recomendável em situações deste tipo, o esforço hercúleo e perfectível, mas incessantemente recomeçado, do infeliz Sísifo. Na verdade, </w:t>
      </w:r>
      <w:r w:rsidRPr="00624971">
        <w:rPr>
          <w:rFonts w:ascii="Calibri" w:eastAsia="Times New Roman" w:hAnsi="Calibri" w:cs="Calibri"/>
          <w:sz w:val="18"/>
          <w:szCs w:val="20"/>
        </w:rPr>
        <w:t xml:space="preserve">errando, </w:t>
      </w:r>
      <w:proofErr w:type="spellStart"/>
      <w:r w:rsidRPr="00624971">
        <w:rPr>
          <w:rFonts w:ascii="Calibri" w:eastAsia="Times New Roman" w:hAnsi="Calibri" w:cs="Calibri"/>
          <w:sz w:val="18"/>
          <w:szCs w:val="20"/>
        </w:rPr>
        <w:t>corrigitur</w:t>
      </w:r>
      <w:proofErr w:type="spellEnd"/>
      <w:r w:rsidRPr="00624971">
        <w:rPr>
          <w:rFonts w:ascii="Calibri" w:eastAsia="Times New Roman" w:hAnsi="Calibri" w:cs="Calibri"/>
          <w:sz w:val="18"/>
          <w:szCs w:val="20"/>
        </w:rPr>
        <w:t xml:space="preserve"> error</w:t>
      </w:r>
      <w:r w:rsidRPr="00624971">
        <w:rPr>
          <w:rFonts w:ascii="Calibri" w:eastAsia="Times New Roman" w:hAnsi="Calibri" w:cs="Calibri"/>
          <w:i/>
          <w:sz w:val="18"/>
          <w:szCs w:val="20"/>
        </w:rPr>
        <w:t>.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20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sz w:val="18"/>
          <w:szCs w:val="18"/>
        </w:rPr>
      </w:pPr>
      <w:r w:rsidRPr="00624971">
        <w:rPr>
          <w:rFonts w:ascii="Calibri" w:eastAsia="Times New Roman" w:hAnsi="Calibri" w:cs="Calibri"/>
          <w:sz w:val="18"/>
          <w:szCs w:val="18"/>
        </w:rPr>
        <w:tab/>
      </w:r>
      <w:r w:rsidRPr="00624971">
        <w:rPr>
          <w:rFonts w:ascii="Calibri" w:eastAsia="Times New Roman" w:hAnsi="Calibri" w:cs="Calibri"/>
          <w:sz w:val="18"/>
          <w:szCs w:val="18"/>
        </w:rPr>
        <w:tab/>
      </w:r>
      <w:r w:rsidRPr="00624971">
        <w:rPr>
          <w:rFonts w:ascii="Calibri" w:eastAsia="Times New Roman" w:hAnsi="Calibri" w:cs="Calibri"/>
          <w:sz w:val="18"/>
          <w:szCs w:val="18"/>
        </w:rPr>
        <w:tab/>
      </w:r>
    </w:p>
    <w:p w:rsidR="00624971" w:rsidRPr="00624971" w:rsidRDefault="00624971" w:rsidP="00624971">
      <w:pPr>
        <w:keepNext/>
        <w:widowControl w:val="0"/>
        <w:tabs>
          <w:tab w:val="num" w:pos="3600"/>
        </w:tabs>
        <w:ind w:left="2880" w:right="23" w:firstLine="180"/>
        <w:jc w:val="both"/>
        <w:outlineLvl w:val="2"/>
        <w:rPr>
          <w:rFonts w:ascii="Calibri" w:eastAsia="Times New Roman" w:hAnsi="Calibri" w:cs="Arial"/>
          <w:b/>
          <w:i/>
          <w:smallCaps/>
          <w:spacing w:val="5"/>
          <w:sz w:val="20"/>
          <w:szCs w:val="20"/>
        </w:rPr>
      </w:pPr>
      <w:r w:rsidRPr="00624971">
        <w:rPr>
          <w:rFonts w:ascii="Calibri" w:eastAsia="Times New Roman" w:hAnsi="Calibri" w:cs="Arial"/>
          <w:b/>
          <w:i/>
          <w:smallCaps/>
          <w:spacing w:val="5"/>
          <w:sz w:val="20"/>
          <w:szCs w:val="20"/>
        </w:rPr>
        <w:t>AUTORAS DA ANTOLOGIA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sz w:val="18"/>
          <w:szCs w:val="18"/>
        </w:rPr>
      </w:pP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624971">
        <w:rPr>
          <w:rFonts w:ascii="Calibri" w:eastAsia="Times New Roman" w:hAnsi="Calibri" w:cs="Calibri"/>
          <w:b/>
          <w:sz w:val="18"/>
          <w:szCs w:val="18"/>
        </w:rPr>
        <w:t xml:space="preserve">2.1. </w:t>
      </w:r>
      <w:r w:rsidRPr="00624971">
        <w:rPr>
          <w:rFonts w:ascii="Calibri" w:eastAsia="Times New Roman" w:hAnsi="Calibri" w:cs="Calibri"/>
          <w:i/>
          <w:sz w:val="18"/>
          <w:szCs w:val="18"/>
        </w:rPr>
        <w:t>Maria do Rosário Girão Ribeiro dos Santos é Professora Associada do Departamento de Estudos Românicos do Instituto de Letras e Ciências Humanas da Universidade do Minho. Coordenou e lecionou o Curso Breve intitulado “</w:t>
      </w:r>
      <w:proofErr w:type="spellStart"/>
      <w:proofErr w:type="gramStart"/>
      <w:r w:rsidRPr="00624971">
        <w:rPr>
          <w:rFonts w:ascii="Calibri" w:eastAsia="Times New Roman" w:hAnsi="Calibri" w:cs="Calibri"/>
          <w:i/>
          <w:sz w:val="18"/>
          <w:szCs w:val="18"/>
        </w:rPr>
        <w:t>Açorianidade(s</w:t>
      </w:r>
      <w:proofErr w:type="spellEnd"/>
      <w:proofErr w:type="gram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) e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18"/>
        </w:rPr>
        <w:t>Insularidade(s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)”, que decorreu na Universidade do Minho de 25 de setembro de </w:t>
      </w:r>
      <w:smartTag w:uri="urn:schemas-microsoft-com:office:smarttags" w:element="metricconverter">
        <w:smartTagPr>
          <w:attr w:name="ProductID" w:val="2010 a"/>
        </w:smartTagPr>
        <w:r w:rsidRPr="00624971">
          <w:rPr>
            <w:rFonts w:ascii="Calibri" w:eastAsia="Times New Roman" w:hAnsi="Calibri" w:cs="Calibri"/>
            <w:i/>
            <w:sz w:val="18"/>
            <w:szCs w:val="18"/>
          </w:rPr>
          <w:t>2010 a</w:t>
        </w:r>
      </w:smartTag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18 de fevereiro de 2011.  </w:t>
      </w:r>
    </w:p>
    <w:p w:rsidR="00624971" w:rsidRPr="00624971" w:rsidRDefault="00624971" w:rsidP="00624971">
      <w:pPr>
        <w:tabs>
          <w:tab w:val="num" w:pos="0"/>
          <w:tab w:val="num" w:pos="2880"/>
          <w:tab w:val="left" w:pos="7740"/>
        </w:tabs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624971">
        <w:rPr>
          <w:rFonts w:ascii="Calibri" w:eastAsia="Times New Roman" w:hAnsi="Calibri" w:cs="Calibri"/>
          <w:i/>
          <w:sz w:val="18"/>
          <w:szCs w:val="18"/>
        </w:rPr>
        <w:t>2.</w:t>
      </w:r>
      <w:r w:rsidRPr="00624971">
        <w:rPr>
          <w:rFonts w:ascii="Calibri" w:eastAsia="Times New Roman" w:hAnsi="Calibri" w:cs="Calibri"/>
          <w:b/>
          <w:i/>
          <w:sz w:val="18"/>
          <w:szCs w:val="18"/>
        </w:rPr>
        <w:t>2</w:t>
      </w:r>
      <w:r w:rsidRPr="00624971">
        <w:rPr>
          <w:rFonts w:ascii="Calibri" w:eastAsia="Times New Roman" w:hAnsi="Calibri" w:cs="Calibri"/>
          <w:i/>
          <w:sz w:val="18"/>
          <w:szCs w:val="18"/>
        </w:rPr>
        <w:t>. Maria Helena Ferreira da Costa Simões Chrystello é professora de Língua Portuguesa na Escola Básica 2,3 da Maia onde é Coordenadora do Departamento de Línguas e tem-se vindo a dedicar, de há quatro anos a esta parte, ao estudo e divulgação de autores açorianos.</w:t>
      </w: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b/>
          <w:i/>
          <w:sz w:val="18"/>
          <w:szCs w:val="18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i/>
          <w:sz w:val="18"/>
          <w:szCs w:val="18"/>
        </w:rPr>
      </w:pPr>
      <w:r w:rsidRPr="00624971">
        <w:rPr>
          <w:rFonts w:ascii="Calibri" w:eastAsia="Times New Roman" w:hAnsi="Calibri" w:cs="Calibri"/>
          <w:b/>
          <w:i/>
          <w:sz w:val="18"/>
          <w:szCs w:val="18"/>
        </w:rPr>
        <w:t>2.3.</w:t>
      </w:r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O tradutor (Chrys Chrystello) é Membro Fundador do AUSIT, e lecionou em Sidney na Universidade UTS (Linguística/Tradutologia/Estudos Multiculturais). Durante duas décadas, foi responsável pelos exames dos candidatos a Tradutores e Interpretes na Austrália (NAATI), </w:t>
      </w:r>
      <w:r w:rsidRPr="00624971">
        <w:rPr>
          <w:rFonts w:ascii="Calibri" w:eastAsia="Times New Roman" w:hAnsi="Calibri" w:cs="Calibri"/>
          <w:bCs/>
          <w:i/>
          <w:iCs/>
          <w:sz w:val="18"/>
          <w:szCs w:val="18"/>
        </w:rPr>
        <w:t>Assessor</w:t>
      </w:r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de Literatura Portuguesa (Australia Council); é mentor dos finalistas de Literatura da ACL, Univ. </w:t>
      </w:r>
      <w:proofErr w:type="gramStart"/>
      <w:r w:rsidRPr="00624971">
        <w:rPr>
          <w:rFonts w:ascii="Calibri" w:eastAsia="Times New Roman" w:hAnsi="Calibri" w:cs="Calibri"/>
          <w:i/>
          <w:sz w:val="18"/>
          <w:szCs w:val="18"/>
        </w:rPr>
        <w:t>de</w:t>
      </w:r>
      <w:proofErr w:type="gram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Brighton; </w:t>
      </w:r>
      <w:r w:rsidRPr="00624971">
        <w:rPr>
          <w:rFonts w:ascii="Calibri" w:eastAsia="Times New Roman" w:hAnsi="Calibri" w:cs="Calibri"/>
          <w:bCs/>
          <w:i/>
          <w:iCs/>
          <w:sz w:val="18"/>
          <w:szCs w:val="18"/>
        </w:rPr>
        <w:t>Revisor</w:t>
      </w:r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(Translation Studies </w:t>
      </w:r>
      <w:proofErr w:type="spellStart"/>
      <w:r w:rsidRPr="00624971">
        <w:rPr>
          <w:rFonts w:ascii="Calibri" w:eastAsia="Times New Roman" w:hAnsi="Calibri" w:cs="Calibri"/>
          <w:i/>
          <w:sz w:val="18"/>
          <w:szCs w:val="18"/>
        </w:rPr>
        <w:t>Dept</w:t>
      </w:r>
      <w:proofErr w:type="spell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) </w:t>
      </w:r>
      <w:proofErr w:type="gramStart"/>
      <w:r w:rsidRPr="00624971">
        <w:rPr>
          <w:rFonts w:ascii="Calibri" w:eastAsia="Times New Roman" w:hAnsi="Calibri" w:cs="Calibri"/>
          <w:i/>
          <w:sz w:val="18"/>
          <w:szCs w:val="18"/>
        </w:rPr>
        <w:t>da Univ</w:t>
      </w:r>
      <w:proofErr w:type="gram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. </w:t>
      </w:r>
      <w:proofErr w:type="gramStart"/>
      <w:r w:rsidRPr="00624971">
        <w:rPr>
          <w:rFonts w:ascii="Calibri" w:eastAsia="Times New Roman" w:hAnsi="Calibri" w:cs="Calibri"/>
          <w:i/>
          <w:sz w:val="18"/>
          <w:szCs w:val="18"/>
        </w:rPr>
        <w:t>de</w:t>
      </w:r>
      <w:proofErr w:type="gramEnd"/>
      <w:r w:rsidRPr="00624971">
        <w:rPr>
          <w:rFonts w:ascii="Calibri" w:eastAsia="Times New Roman" w:hAnsi="Calibri" w:cs="Calibri"/>
          <w:i/>
          <w:sz w:val="18"/>
          <w:szCs w:val="18"/>
        </w:rPr>
        <w:t xml:space="preserve"> Helsínquia e foi Consultor do Programa REMA da Universidade dos Açores. É atualmente o Editor dos CADERNOS (DE ESTUDOS) AÇORIANOS, e presidiu desde 2001 aos 16 Colóquios da Lusofonia (AICL – associação internacional dos colóquios da Lusofonia).</w:t>
      </w: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sz w:val="18"/>
          <w:szCs w:val="18"/>
          <w:lang w:eastAsia="pt-PT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sz w:val="18"/>
          <w:szCs w:val="18"/>
          <w:lang w:eastAsia="pt-PT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sz w:val="18"/>
          <w:szCs w:val="18"/>
          <w:lang w:eastAsia="pt-PT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sz w:val="18"/>
          <w:szCs w:val="18"/>
          <w:lang w:eastAsia="pt-PT"/>
        </w:rPr>
      </w:pPr>
    </w:p>
    <w:p w:rsidR="00624971" w:rsidRPr="00624971" w:rsidRDefault="00624971" w:rsidP="00624971">
      <w:pPr>
        <w:ind w:left="2880" w:firstLine="180"/>
        <w:jc w:val="both"/>
        <w:rPr>
          <w:rFonts w:ascii="Calibri" w:eastAsia="Times New Roman" w:hAnsi="Calibri" w:cs="Calibri"/>
          <w:sz w:val="18"/>
          <w:szCs w:val="18"/>
          <w:lang w:eastAsia="pt-PT"/>
        </w:rPr>
      </w:pPr>
      <w:r w:rsidRPr="00624971">
        <w:rPr>
          <w:rFonts w:ascii="Calibri" w:eastAsia="Times New Roman" w:hAnsi="Calibri" w:cs="Calibri"/>
          <w:sz w:val="18"/>
          <w:szCs w:val="18"/>
          <w:lang w:eastAsia="pt-PT"/>
        </w:rPr>
        <w:t>NB: no caso dos autores vivos a nota biobliográfica é da responsabilidade dos mesmos.</w:t>
      </w:r>
    </w:p>
    <w:p w:rsidR="00624971" w:rsidRPr="00624971" w:rsidRDefault="00624971" w:rsidP="00624971">
      <w:pPr>
        <w:spacing w:line="360" w:lineRule="auto"/>
        <w:ind w:left="2880" w:firstLine="180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</w:p>
    <w:p w:rsidR="00624971" w:rsidRPr="00624971" w:rsidRDefault="00624971" w:rsidP="00624971">
      <w:pPr>
        <w:spacing w:line="360" w:lineRule="auto"/>
        <w:ind w:left="2880" w:firstLine="180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</w:p>
    <w:p w:rsidR="00624971" w:rsidRPr="00624971" w:rsidRDefault="00624971" w:rsidP="00624971">
      <w:pPr>
        <w:spacing w:line="360" w:lineRule="auto"/>
        <w:ind w:left="2880" w:firstLine="180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</w:p>
    <w:p w:rsidR="00624971" w:rsidRPr="00624971" w:rsidRDefault="00624971" w:rsidP="00624971">
      <w:pPr>
        <w:spacing w:line="360" w:lineRule="auto"/>
        <w:ind w:left="2880" w:firstLine="180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</w:p>
    <w:p w:rsidR="00624971" w:rsidRPr="00624971" w:rsidRDefault="00624971" w:rsidP="00624971">
      <w:pPr>
        <w:spacing w:line="360" w:lineRule="auto"/>
        <w:ind w:left="2880" w:firstLine="180"/>
        <w:jc w:val="both"/>
        <w:rPr>
          <w:rFonts w:ascii="Calibri" w:eastAsia="Times New Roman" w:hAnsi="Calibri" w:cs="Arial"/>
          <w:sz w:val="20"/>
          <w:szCs w:val="20"/>
          <w:lang w:eastAsia="pt-PT"/>
        </w:rPr>
      </w:pPr>
    </w:p>
    <w:p w:rsidR="001A5F51" w:rsidRDefault="001A5F51">
      <w:bookmarkStart w:id="0" w:name="_GoBack"/>
      <w:bookmarkEnd w:id="0"/>
    </w:p>
    <w:sectPr w:rsidR="001A5F51" w:rsidSect="001A5D2F">
      <w:pgSz w:w="11906" w:h="16838"/>
      <w:pgMar w:top="1417" w:right="1418" w:bottom="141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971"/>
    <w:rsid w:val="001A5D2F"/>
    <w:rsid w:val="001A5F51"/>
    <w:rsid w:val="003459D0"/>
    <w:rsid w:val="00624971"/>
    <w:rsid w:val="0066738A"/>
    <w:rsid w:val="00B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INTRODUÇÃO</vt:lpstr>
      <vt:lpstr>        AUTORAS DA ANTOLOGIA</vt:lpstr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chrys chrystello</dc:creator>
  <cp:lastModifiedBy>chrys chrystello</cp:lastModifiedBy>
  <cp:revision>2</cp:revision>
  <dcterms:created xsi:type="dcterms:W3CDTF">2011-12-04T23:01:00Z</dcterms:created>
  <dcterms:modified xsi:type="dcterms:W3CDTF">2011-12-04T23:01:00Z</dcterms:modified>
</cp:coreProperties>
</file>